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73" w:rsidRDefault="00B44D4C">
      <w:pPr>
        <w:pStyle w:val="Heading1"/>
        <w:spacing w:before="60"/>
        <w:ind w:left="4208" w:right="4188"/>
        <w:jc w:val="center"/>
      </w:pPr>
      <w:r>
        <w:t>DRAFT</w:t>
      </w:r>
    </w:p>
    <w:p w:rsidR="00EF3273" w:rsidRDefault="00EF3273">
      <w:pPr>
        <w:pStyle w:val="BodyText"/>
        <w:ind w:left="0"/>
        <w:rPr>
          <w:b/>
          <w:sz w:val="32"/>
        </w:rPr>
      </w:pPr>
    </w:p>
    <w:p w:rsidR="00EF3273" w:rsidRPr="00B44D4C" w:rsidRDefault="00B44D4C">
      <w:pPr>
        <w:ind w:left="100" w:right="1392"/>
        <w:rPr>
          <w:sz w:val="24"/>
          <w:szCs w:val="24"/>
        </w:rPr>
      </w:pPr>
      <w:r>
        <w:rPr>
          <w:b/>
          <w:sz w:val="32"/>
        </w:rPr>
        <w:t xml:space="preserve">Louisiana International Gulf Transfer Terminal Authority Executive Committee Meeting Minutes- </w:t>
      </w:r>
      <w:r w:rsidRPr="00B44D4C">
        <w:rPr>
          <w:sz w:val="24"/>
          <w:szCs w:val="24"/>
        </w:rPr>
        <w:t>Adopted June 12, 2017</w:t>
      </w:r>
    </w:p>
    <w:p w:rsidR="00EF3273" w:rsidRDefault="00B44D4C">
      <w:pPr>
        <w:pStyle w:val="BodyText"/>
        <w:tabs>
          <w:tab w:val="left" w:pos="2919"/>
          <w:tab w:val="right" w:pos="7643"/>
        </w:tabs>
        <w:spacing w:before="253"/>
      </w:pPr>
      <w:r>
        <w:t>March 31, 2017</w:t>
      </w:r>
      <w:r>
        <w:tab/>
        <w:t xml:space="preserve">1515 </w:t>
      </w:r>
      <w:proofErr w:type="spellStart"/>
      <w:r>
        <w:t>Poydras</w:t>
      </w:r>
      <w:proofErr w:type="spellEnd"/>
      <w:r>
        <w:t xml:space="preserve"> Street, Suite 2330</w:t>
      </w:r>
      <w:r>
        <w:tab/>
        <w:t>1103 - 1201</w:t>
      </w:r>
    </w:p>
    <w:p w:rsidR="00EF3273" w:rsidRDefault="00B44D4C">
      <w:pPr>
        <w:pStyle w:val="BodyText"/>
        <w:ind w:left="2920"/>
      </w:pPr>
      <w:r>
        <w:t>New Orleans, LA 70112</w:t>
      </w:r>
      <w:bookmarkStart w:id="0" w:name="_GoBack"/>
      <w:bookmarkEnd w:id="0"/>
    </w:p>
    <w:p w:rsidR="00EF3273" w:rsidRDefault="00EF3273">
      <w:pPr>
        <w:pStyle w:val="BodyText"/>
        <w:spacing w:before="11"/>
        <w:ind w:left="0"/>
        <w:rPr>
          <w:sz w:val="21"/>
        </w:rPr>
      </w:pPr>
    </w:p>
    <w:p w:rsidR="00EF3273" w:rsidRDefault="00B44D4C">
      <w:pPr>
        <w:pStyle w:val="BodyText"/>
        <w:tabs>
          <w:tab w:val="left" w:pos="5139"/>
        </w:tabs>
      </w:pPr>
      <w:r>
        <w:t>Executive Committee Members in Attendance:</w:t>
      </w:r>
      <w:r>
        <w:tab/>
        <w:t>Others in Attendance:</w:t>
      </w:r>
    </w:p>
    <w:p w:rsidR="00EF3273" w:rsidRDefault="00B44D4C">
      <w:pPr>
        <w:pStyle w:val="BodyText"/>
        <w:tabs>
          <w:tab w:val="left" w:pos="5139"/>
        </w:tabs>
      </w:pPr>
      <w:r>
        <w:t>A.G. Crowe</w:t>
      </w:r>
      <w:r>
        <w:tab/>
        <w:t xml:space="preserve">Larry </w:t>
      </w:r>
      <w:proofErr w:type="spellStart"/>
      <w:r>
        <w:t>Roedel</w:t>
      </w:r>
      <w:proofErr w:type="spellEnd"/>
      <w:r>
        <w:t xml:space="preserve"> – Legal Counsel</w:t>
      </w:r>
    </w:p>
    <w:p w:rsidR="00EF3273" w:rsidRDefault="00B44D4C">
      <w:pPr>
        <w:pStyle w:val="BodyText"/>
        <w:tabs>
          <w:tab w:val="left" w:pos="5139"/>
        </w:tabs>
        <w:ind w:right="291"/>
      </w:pPr>
      <w:r>
        <w:t>Dennis Crawford</w:t>
      </w:r>
      <w:r>
        <w:tab/>
        <w:t>Crystal Hutchinson – Administrative Assistant John Hyatt</w:t>
      </w:r>
    </w:p>
    <w:p w:rsidR="00EF3273" w:rsidRDefault="00B44D4C">
      <w:pPr>
        <w:pStyle w:val="BodyText"/>
      </w:pPr>
      <w:r>
        <w:t>Chris Westbrook</w:t>
      </w:r>
    </w:p>
    <w:p w:rsidR="00EF3273" w:rsidRDefault="00EF3273">
      <w:pPr>
        <w:pStyle w:val="BodyText"/>
        <w:ind w:left="0"/>
      </w:pPr>
    </w:p>
    <w:p w:rsidR="00EF3273" w:rsidRDefault="00B44D4C">
      <w:pPr>
        <w:pStyle w:val="BodyText"/>
      </w:pPr>
      <w:r>
        <w:t>A roll call was conducted and a quorum was established – members present listed above.  The Chairman,</w:t>
      </w:r>
    </w:p>
    <w:p w:rsidR="00EF3273" w:rsidRDefault="00B44D4C">
      <w:pPr>
        <w:pStyle w:val="ListParagraph"/>
        <w:numPr>
          <w:ilvl w:val="1"/>
          <w:numId w:val="1"/>
        </w:numPr>
        <w:tabs>
          <w:tab w:val="left" w:pos="583"/>
        </w:tabs>
        <w:ind w:right="389" w:firstLine="0"/>
      </w:pPr>
      <w:r>
        <w:t>Crowe, called the meetin</w:t>
      </w:r>
      <w:r>
        <w:t xml:space="preserve">g to order at 1103. Commissioner Hyatt moved to accept the minutes of </w:t>
      </w:r>
      <w:proofErr w:type="gramStart"/>
      <w:r>
        <w:t>the</w:t>
      </w:r>
      <w:proofErr w:type="gramEnd"/>
      <w:r>
        <w:t xml:space="preserve"> previous meeting and dispense with the reading of the same.  Motion carried unanimously.</w:t>
      </w:r>
    </w:p>
    <w:p w:rsidR="00EF3273" w:rsidRDefault="00EF3273">
      <w:pPr>
        <w:pStyle w:val="BodyText"/>
        <w:ind w:left="0"/>
      </w:pPr>
    </w:p>
    <w:p w:rsidR="00EF3273" w:rsidRDefault="00B44D4C">
      <w:pPr>
        <w:pStyle w:val="BodyText"/>
        <w:ind w:right="292"/>
      </w:pPr>
      <w:r>
        <w:t>In accordance with recommendations made at the conclusion of the LLA audit draft policy manu</w:t>
      </w:r>
      <w:r>
        <w:t>al regarding internal policies and procedures for the LIGTT Authority was circulated and reviewed. Commissioner Hyatt moved to accept the draft policy contingent upon review and input prior to the full board meeting scheduled for April 4, 2017.  Motion car</w:t>
      </w:r>
      <w:r>
        <w:t>ried unanimously.</w:t>
      </w:r>
    </w:p>
    <w:p w:rsidR="00EF3273" w:rsidRDefault="00EF3273">
      <w:pPr>
        <w:pStyle w:val="BodyText"/>
        <w:spacing w:before="11"/>
        <w:ind w:left="0"/>
        <w:rPr>
          <w:sz w:val="21"/>
        </w:rPr>
      </w:pPr>
    </w:p>
    <w:p w:rsidR="00EF3273" w:rsidRDefault="00B44D4C">
      <w:pPr>
        <w:pStyle w:val="BodyText"/>
      </w:pPr>
      <w:r>
        <w:t>A motion was made by Commissioner Westbrook to adopt the following resolution:</w:t>
      </w:r>
    </w:p>
    <w:p w:rsidR="00EF3273" w:rsidRDefault="00EF3273">
      <w:pPr>
        <w:pStyle w:val="BodyText"/>
        <w:spacing w:before="11"/>
        <w:ind w:left="0"/>
        <w:rPr>
          <w:sz w:val="21"/>
        </w:rPr>
      </w:pPr>
    </w:p>
    <w:p w:rsidR="00EF3273" w:rsidRDefault="00B44D4C">
      <w:pPr>
        <w:pStyle w:val="BodyText"/>
        <w:ind w:right="500"/>
      </w:pPr>
      <w:r>
        <w:t>Resolved, that the Louisiana International Gulf Transfer Terminal Authority (“LIGTT”) takes the following action relative to its designation of an Executive Director for certain limited and temporary legislative and governmental purposes including:</w:t>
      </w:r>
    </w:p>
    <w:p w:rsidR="00EF3273" w:rsidRDefault="00EF3273">
      <w:pPr>
        <w:pStyle w:val="BodyText"/>
        <w:spacing w:before="11"/>
        <w:ind w:left="0"/>
        <w:rPr>
          <w:sz w:val="21"/>
        </w:rPr>
      </w:pPr>
    </w:p>
    <w:p w:rsidR="00EF3273" w:rsidRDefault="00B44D4C">
      <w:pPr>
        <w:pStyle w:val="ListParagraph"/>
        <w:numPr>
          <w:ilvl w:val="2"/>
          <w:numId w:val="1"/>
        </w:numPr>
        <w:tabs>
          <w:tab w:val="left" w:pos="983"/>
        </w:tabs>
        <w:ind w:right="215"/>
      </w:pPr>
      <w:r>
        <w:t>To des</w:t>
      </w:r>
      <w:r>
        <w:t>ignate its Administrative Assistant with a temporary, additional title of Executive Director, but only to the extent required by Civil Service regulations to perform certain limited administrative functions;</w:t>
      </w:r>
    </w:p>
    <w:p w:rsidR="00EF3273" w:rsidRDefault="00B44D4C">
      <w:pPr>
        <w:pStyle w:val="ListParagraph"/>
        <w:numPr>
          <w:ilvl w:val="2"/>
          <w:numId w:val="1"/>
        </w:numPr>
        <w:tabs>
          <w:tab w:val="left" w:pos="983"/>
        </w:tabs>
        <w:ind w:right="557"/>
        <w:jc w:val="both"/>
      </w:pPr>
      <w:r>
        <w:t>The designation by this Resolution does not cons</w:t>
      </w:r>
      <w:r>
        <w:t>titute an official selection of an Executive Director pursuant to La. R.S. 34:3497 A., which selection may occur after confirmation of sufficient funding to support Phase I of the LIGTT Project; and</w:t>
      </w:r>
    </w:p>
    <w:p w:rsidR="00EF3273" w:rsidRDefault="00B44D4C">
      <w:pPr>
        <w:pStyle w:val="ListParagraph"/>
        <w:numPr>
          <w:ilvl w:val="2"/>
          <w:numId w:val="1"/>
        </w:numPr>
        <w:tabs>
          <w:tab w:val="left" w:pos="983"/>
        </w:tabs>
      </w:pPr>
      <w:r>
        <w:t>The Administrative Assistant shall serve in an advisory a</w:t>
      </w:r>
      <w:r>
        <w:t>nd a Co-Secretary role to the Board pursuant to La. R.S. 34:3497 B. The compensation for the Administrative Assistant has already been set by the LIGTT Board and is not being altered by this resolution.</w:t>
      </w:r>
    </w:p>
    <w:p w:rsidR="00EF3273" w:rsidRDefault="00EF3273">
      <w:pPr>
        <w:pStyle w:val="BodyText"/>
        <w:spacing w:before="11"/>
        <w:ind w:left="0"/>
        <w:rPr>
          <w:sz w:val="21"/>
        </w:rPr>
      </w:pPr>
    </w:p>
    <w:p w:rsidR="00EF3273" w:rsidRDefault="00B44D4C">
      <w:pPr>
        <w:pStyle w:val="BodyText"/>
      </w:pPr>
      <w:r>
        <w:t>Motion carried unanimously.</w:t>
      </w:r>
    </w:p>
    <w:p w:rsidR="00EF3273" w:rsidRDefault="00EF3273">
      <w:pPr>
        <w:pStyle w:val="BodyText"/>
        <w:spacing w:before="11"/>
        <w:ind w:left="0"/>
        <w:rPr>
          <w:sz w:val="21"/>
        </w:rPr>
      </w:pPr>
    </w:p>
    <w:p w:rsidR="00EF3273" w:rsidRDefault="00B44D4C">
      <w:pPr>
        <w:pStyle w:val="BodyText"/>
        <w:ind w:right="274"/>
      </w:pPr>
      <w:r>
        <w:t>Due to the expired term</w:t>
      </w:r>
      <w:r>
        <w:t xml:space="preserve"> of Commissioner Scott </w:t>
      </w:r>
      <w:proofErr w:type="spellStart"/>
      <w:r>
        <w:t>Becnel</w:t>
      </w:r>
      <w:proofErr w:type="spellEnd"/>
      <w:r>
        <w:t xml:space="preserve"> a vacancy was noted on the Executive Board for the position of Treasurer. Commissioner Crowe moved to appoint Commissioner Hyatt as interim Treasurer until such time as a permanent Treasurer is installed.  Motion carried unani</w:t>
      </w:r>
      <w:r>
        <w:t>mously.</w:t>
      </w:r>
    </w:p>
    <w:p w:rsidR="00EF3273" w:rsidRDefault="00EF3273">
      <w:pPr>
        <w:pStyle w:val="BodyText"/>
        <w:spacing w:before="11"/>
        <w:ind w:left="0"/>
        <w:rPr>
          <w:sz w:val="21"/>
        </w:rPr>
      </w:pPr>
    </w:p>
    <w:p w:rsidR="00EF3273" w:rsidRDefault="00B44D4C">
      <w:pPr>
        <w:pStyle w:val="BodyText"/>
        <w:ind w:right="159"/>
      </w:pPr>
      <w:r>
        <w:t xml:space="preserve">Legal counsel Larry </w:t>
      </w:r>
      <w:proofErr w:type="spellStart"/>
      <w:r>
        <w:t>Roedel</w:t>
      </w:r>
      <w:proofErr w:type="spellEnd"/>
      <w:r>
        <w:t xml:space="preserve"> reported on the efforts of the Developer to address the issue of securing confirmed proof of financing for the project or for Phase I of the project which had previously resulted in the October 4, 2016 Notice to the Deve</w:t>
      </w:r>
      <w:r>
        <w:t xml:space="preserve">loper triggering a 180 day “correct or cure period” that ended on April 3, 2017 as to the Event of Default. Mr. </w:t>
      </w:r>
      <w:proofErr w:type="spellStart"/>
      <w:r>
        <w:t>Roedel</w:t>
      </w:r>
      <w:proofErr w:type="spellEnd"/>
      <w:r>
        <w:t xml:space="preserve"> stated that despite the efforts of the Developer to substantiate proof of financing including last minute proposals seeking an extension </w:t>
      </w:r>
      <w:r>
        <w:t xml:space="preserve">of the cure period they are still unable to adequately demonstrate proof of financing for the Project and therefore still in Default. Mr. </w:t>
      </w:r>
      <w:proofErr w:type="spellStart"/>
      <w:r>
        <w:t>Roedel</w:t>
      </w:r>
      <w:proofErr w:type="spellEnd"/>
      <w:r>
        <w:t xml:space="preserve"> suggested that the Authority move forward by placing the Developer on notice of our intent to begin the Termina</w:t>
      </w:r>
      <w:r>
        <w:t>tion/Cancellation/Dispute Resolution process under Article XIII of the</w:t>
      </w:r>
    </w:p>
    <w:p w:rsidR="00EF3273" w:rsidRDefault="00EF3273">
      <w:pPr>
        <w:sectPr w:rsidR="00EF3273">
          <w:type w:val="continuous"/>
          <w:pgSz w:w="12240" w:h="15840"/>
          <w:pgMar w:top="1380" w:right="1360" w:bottom="280" w:left="1340" w:header="720" w:footer="720" w:gutter="0"/>
          <w:cols w:space="720"/>
        </w:sectPr>
      </w:pPr>
    </w:p>
    <w:p w:rsidR="00EF3273" w:rsidRDefault="00B44D4C">
      <w:pPr>
        <w:pStyle w:val="BodyText"/>
        <w:spacing w:before="80"/>
        <w:ind w:right="98"/>
      </w:pPr>
      <w:r>
        <w:lastRenderedPageBreak/>
        <w:t xml:space="preserve">Sub-Lease and to issue a Termination Notice pursuant to Article 12 of the Development Agreement. Mr. </w:t>
      </w:r>
      <w:proofErr w:type="spellStart"/>
      <w:r>
        <w:t>Roedel</w:t>
      </w:r>
      <w:proofErr w:type="spellEnd"/>
      <w:r>
        <w:t xml:space="preserve"> explained this procedure and the required following steps in deta</w:t>
      </w:r>
      <w:r>
        <w:t>il.</w:t>
      </w:r>
    </w:p>
    <w:p w:rsidR="00EF3273" w:rsidRDefault="00EF3273">
      <w:pPr>
        <w:pStyle w:val="BodyText"/>
        <w:ind w:left="0"/>
      </w:pPr>
    </w:p>
    <w:p w:rsidR="00EF3273" w:rsidRDefault="00B44D4C">
      <w:pPr>
        <w:pStyle w:val="BodyText"/>
        <w:spacing w:line="480" w:lineRule="auto"/>
        <w:ind w:right="98"/>
      </w:pPr>
      <w:r>
        <w:t>Commissioner Crowe moved to enter into Executive Session at 1116. Motion Carried unanimously. Commissioner Westbrook moved to exit Executive Session at 1154.  Motion Carried unanimously.</w:t>
      </w:r>
    </w:p>
    <w:p w:rsidR="00EF3273" w:rsidRDefault="00B44D4C">
      <w:pPr>
        <w:pStyle w:val="BodyText"/>
        <w:spacing w:before="11" w:line="252" w:lineRule="auto"/>
        <w:ind w:right="98"/>
        <w:rPr>
          <w:rFonts w:ascii="Cambria"/>
        </w:rPr>
      </w:pPr>
      <w:r>
        <w:t xml:space="preserve">Commissioner Hyatt moved </w:t>
      </w:r>
      <w:r>
        <w:rPr>
          <w:rFonts w:ascii="Cambria"/>
        </w:rPr>
        <w:t>that the Executive Board recommend to t</w:t>
      </w:r>
      <w:r>
        <w:rPr>
          <w:rFonts w:ascii="Cambria"/>
        </w:rPr>
        <w:t>he full Board that it adopt the strategy outlined by legal counsel to include appropriate notices to the Developer under Article XIII of the Sub Lease and Article 12 of the Development Agreement and to include a request to the Commissioner of Administratio</w:t>
      </w:r>
      <w:r>
        <w:rPr>
          <w:rFonts w:ascii="Cambria"/>
        </w:rPr>
        <w:t>n for its involvement in the dispute, and to start the Termination Period. Nothing contained in this Motion is intended to prevent the Developer from fulfilling its duties under the Sub Lease and the Development Agreement which, if successful, may cause th</w:t>
      </w:r>
      <w:r>
        <w:rPr>
          <w:rFonts w:ascii="Cambria"/>
        </w:rPr>
        <w:t>e Executive Board to reconsider its action taken today.  Motion carried unanimously.</w:t>
      </w:r>
    </w:p>
    <w:p w:rsidR="00EF3273" w:rsidRDefault="00EF3273">
      <w:pPr>
        <w:pStyle w:val="BodyText"/>
        <w:ind w:left="0"/>
        <w:rPr>
          <w:rFonts w:ascii="Cambria"/>
          <w:sz w:val="17"/>
        </w:rPr>
      </w:pPr>
    </w:p>
    <w:p w:rsidR="00EF3273" w:rsidRDefault="00B44D4C">
      <w:pPr>
        <w:pStyle w:val="BodyText"/>
        <w:spacing w:before="1"/>
        <w:ind w:right="315"/>
      </w:pPr>
      <w:r>
        <w:t>There being no further business to come before the Board, Chairman Crowe moved that the meeting be adjourned.  Motion carried unanimously.  The meeting was adjourned at 1201.</w:t>
      </w:r>
    </w:p>
    <w:p w:rsidR="00EF3273" w:rsidRDefault="00EF3273">
      <w:pPr>
        <w:pStyle w:val="BodyText"/>
        <w:ind w:left="0"/>
      </w:pPr>
    </w:p>
    <w:p w:rsidR="00EF3273" w:rsidRDefault="00B44D4C">
      <w:pPr>
        <w:pStyle w:val="BodyText"/>
        <w:ind w:right="7902"/>
      </w:pPr>
      <w:r>
        <w:t>Chris Westbrook Secretary</w:t>
      </w:r>
    </w:p>
    <w:sectPr w:rsidR="00EF3273">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84D61"/>
    <w:multiLevelType w:val="multilevel"/>
    <w:tmpl w:val="22AED794"/>
    <w:lvl w:ilvl="0">
      <w:start w:val="1"/>
      <w:numFmt w:val="upperLetter"/>
      <w:lvlText w:val="%1"/>
      <w:lvlJc w:val="left"/>
      <w:pPr>
        <w:ind w:left="100" w:hanging="483"/>
        <w:jc w:val="left"/>
      </w:pPr>
      <w:rPr>
        <w:rFonts w:hint="default"/>
      </w:rPr>
    </w:lvl>
    <w:lvl w:ilvl="1">
      <w:start w:val="7"/>
      <w:numFmt w:val="upperLetter"/>
      <w:lvlText w:val="%1.%2."/>
      <w:lvlJc w:val="left"/>
      <w:pPr>
        <w:ind w:left="100" w:hanging="483"/>
        <w:jc w:val="left"/>
      </w:pPr>
      <w:rPr>
        <w:rFonts w:ascii="Times New Roman" w:eastAsia="Times New Roman" w:hAnsi="Times New Roman" w:cs="Times New Roman" w:hint="default"/>
        <w:w w:val="100"/>
        <w:sz w:val="22"/>
        <w:szCs w:val="22"/>
      </w:rPr>
    </w:lvl>
    <w:lvl w:ilvl="2">
      <w:start w:val="1"/>
      <w:numFmt w:val="lowerLetter"/>
      <w:lvlText w:val="%3)"/>
      <w:lvlJc w:val="left"/>
      <w:pPr>
        <w:ind w:left="983" w:hanging="360"/>
        <w:jc w:val="left"/>
      </w:pPr>
      <w:rPr>
        <w:rFonts w:ascii="Times New Roman" w:eastAsia="Times New Roman" w:hAnsi="Times New Roman" w:cs="Times New Roman" w:hint="default"/>
        <w:w w:val="100"/>
        <w:sz w:val="22"/>
        <w:szCs w:val="22"/>
      </w:rPr>
    </w:lvl>
    <w:lvl w:ilvl="3">
      <w:numFmt w:val="bullet"/>
      <w:lvlText w:val="•"/>
      <w:lvlJc w:val="left"/>
      <w:pPr>
        <w:ind w:left="2882" w:hanging="360"/>
      </w:pPr>
      <w:rPr>
        <w:rFonts w:hint="default"/>
      </w:rPr>
    </w:lvl>
    <w:lvl w:ilvl="4">
      <w:numFmt w:val="bullet"/>
      <w:lvlText w:val="•"/>
      <w:lvlJc w:val="left"/>
      <w:pPr>
        <w:ind w:left="3833" w:hanging="360"/>
      </w:pPr>
      <w:rPr>
        <w:rFonts w:hint="default"/>
      </w:rPr>
    </w:lvl>
    <w:lvl w:ilvl="5">
      <w:numFmt w:val="bullet"/>
      <w:lvlText w:val="•"/>
      <w:lvlJc w:val="left"/>
      <w:pPr>
        <w:ind w:left="4784" w:hanging="360"/>
      </w:pPr>
      <w:rPr>
        <w:rFonts w:hint="default"/>
      </w:rPr>
    </w:lvl>
    <w:lvl w:ilvl="6">
      <w:numFmt w:val="bullet"/>
      <w:lvlText w:val="•"/>
      <w:lvlJc w:val="left"/>
      <w:pPr>
        <w:ind w:left="5735" w:hanging="360"/>
      </w:pPr>
      <w:rPr>
        <w:rFonts w:hint="default"/>
      </w:rPr>
    </w:lvl>
    <w:lvl w:ilvl="7">
      <w:numFmt w:val="bullet"/>
      <w:lvlText w:val="•"/>
      <w:lvlJc w:val="left"/>
      <w:pPr>
        <w:ind w:left="6686" w:hanging="360"/>
      </w:pPr>
      <w:rPr>
        <w:rFonts w:hint="default"/>
      </w:rPr>
    </w:lvl>
    <w:lvl w:ilvl="8">
      <w:numFmt w:val="bullet"/>
      <w:lvlText w:val="•"/>
      <w:lvlJc w:val="left"/>
      <w:pPr>
        <w:ind w:left="76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3273"/>
    <w:rsid w:val="00B44D4C"/>
    <w:rsid w:val="00E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139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983" w:right="11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Hutchinson</cp:lastModifiedBy>
  <cp:revision>3</cp:revision>
  <dcterms:created xsi:type="dcterms:W3CDTF">2017-07-06T14:09:00Z</dcterms:created>
  <dcterms:modified xsi:type="dcterms:W3CDTF">2017-07-06T14:15:00Z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PDFium</vt:lpwstr>
  </property>
  <property fmtid="{D5CDD505-2E9C-101B-9397-08002B2CF9AE}" pid="4" name="LastSaved">
    <vt:filetime>2017-06-08T00:00:00Z</vt:filetime>
  </property>
</Properties>
</file>